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ind w:firstLine="600"/>
        <w:jc w:val="right"/>
        <w:rPr>
          <w:rFonts w:ascii="仿宋_GB2312" w:eastAsia="仿宋_GB2312"/>
          <w:sz w:val="30"/>
          <w:szCs w:val="30"/>
          <w:lang w:eastAsia="zh-CN"/>
        </w:rPr>
      </w:pPr>
      <w:bookmarkStart w:id="4" w:name="_GoBack"/>
      <w:bookmarkEnd w:id="4"/>
    </w:p>
    <w:p>
      <w:pPr>
        <w:spacing w:line="500" w:lineRule="exact"/>
        <w:contextualSpacing/>
        <w:rPr>
          <w:rFonts w:ascii="黑体" w:hAnsi="黑体" w:eastAsia="黑体" w:cs="黑体"/>
          <w:sz w:val="32"/>
          <w:szCs w:val="32"/>
          <w:lang w:eastAsia="zh-CN"/>
        </w:rPr>
      </w:pPr>
      <w:r>
        <w:rPr>
          <w:rFonts w:hint="eastAsia" w:ascii="黑体" w:hAnsi="黑体" w:eastAsia="黑体" w:cs="黑体"/>
          <w:sz w:val="32"/>
          <w:szCs w:val="32"/>
          <w:lang w:eastAsia="zh-CN"/>
        </w:rPr>
        <w:t>附件1：</w:t>
      </w:r>
    </w:p>
    <w:p>
      <w:pPr>
        <w:ind w:right="420"/>
        <w:jc w:val="center"/>
        <w:rPr>
          <w:rFonts w:eastAsia="方正小标宋简体"/>
          <w:sz w:val="36"/>
          <w:szCs w:val="36"/>
          <w:lang w:eastAsia="zh-CN"/>
        </w:rPr>
      </w:pPr>
      <w:r>
        <w:rPr>
          <w:rFonts w:ascii="黑体" w:hAnsi="黑体" w:eastAsia="黑体" w:cs="黑体"/>
          <w:sz w:val="32"/>
          <w:szCs w:val="32"/>
          <w:lang w:eastAsia="zh-CN"/>
        </w:rPr>
        <w:t>企业开户申请信息表</w:t>
      </w:r>
    </w:p>
    <w:tbl>
      <w:tblPr>
        <w:tblStyle w:val="9"/>
        <w:tblW w:w="850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76"/>
        <w:gridCol w:w="2405"/>
        <w:gridCol w:w="1955"/>
        <w:gridCol w:w="21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trPr>
        <w:tc>
          <w:tcPr>
            <w:tcW w:w="1976" w:type="dxa"/>
          </w:tcPr>
          <w:p>
            <w:pPr>
              <w:widowControl/>
              <w:rPr>
                <w:rFonts w:ascii="仿宋_GB2312" w:hAnsi="仿宋_GB2312" w:eastAsia="仿宋_GB2312" w:cs="仿宋_GB2312"/>
                <w:sz w:val="32"/>
                <w:szCs w:val="32"/>
              </w:rPr>
            </w:pPr>
            <w:r>
              <w:rPr>
                <w:rFonts w:ascii="仿宋_GB2312" w:hAnsi="仿宋_GB2312" w:eastAsia="仿宋_GB2312" w:cs="仿宋_GB2312"/>
                <w:sz w:val="32"/>
                <w:szCs w:val="32"/>
              </w:rPr>
              <w:t>企业名称</w:t>
            </w:r>
          </w:p>
        </w:tc>
        <w:tc>
          <w:tcPr>
            <w:tcW w:w="2405" w:type="dxa"/>
          </w:tcPr>
          <w:p>
            <w:pPr>
              <w:adjustRightInd w:val="0"/>
              <w:snapToGrid w:val="0"/>
              <w:spacing w:before="156" w:beforeLines="50" w:after="156" w:afterLines="50" w:line="276" w:lineRule="auto"/>
              <w:rPr>
                <w:rFonts w:ascii="仿宋_GB2312" w:hAnsi="仿宋_GB2312" w:eastAsia="仿宋_GB2312" w:cs="仿宋_GB2312"/>
                <w:sz w:val="32"/>
                <w:szCs w:val="32"/>
              </w:rPr>
            </w:pPr>
          </w:p>
        </w:tc>
        <w:tc>
          <w:tcPr>
            <w:tcW w:w="1955" w:type="dxa"/>
          </w:tcPr>
          <w:p>
            <w:pPr>
              <w:widowControl/>
              <w:rPr>
                <w:rFonts w:ascii="仿宋_GB2312" w:hAnsi="仿宋_GB2312" w:eastAsia="仿宋_GB2312" w:cs="仿宋_GB2312"/>
                <w:sz w:val="32"/>
                <w:szCs w:val="32"/>
              </w:rPr>
            </w:pPr>
            <w:r>
              <w:rPr>
                <w:rFonts w:ascii="仿宋_GB2312" w:hAnsi="仿宋_GB2312" w:eastAsia="仿宋_GB2312" w:cs="仿宋_GB2312"/>
                <w:sz w:val="32"/>
                <w:szCs w:val="32"/>
              </w:rPr>
              <w:t>人员规模</w:t>
            </w:r>
          </w:p>
        </w:tc>
        <w:tc>
          <w:tcPr>
            <w:tcW w:w="2165" w:type="dxa"/>
          </w:tcPr>
          <w:p>
            <w:pPr>
              <w:adjustRightInd w:val="0"/>
              <w:snapToGrid w:val="0"/>
              <w:spacing w:before="156" w:beforeLines="50" w:after="156" w:afterLines="50" w:line="276" w:lineRule="auto"/>
              <w:rPr>
                <w:rFonts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1" w:hRule="atLeast"/>
        </w:trPr>
        <w:tc>
          <w:tcPr>
            <w:tcW w:w="1976" w:type="dxa"/>
          </w:tcPr>
          <w:p>
            <w:pPr>
              <w:widowControl/>
              <w:rPr>
                <w:rFonts w:ascii="仿宋_GB2312" w:hAnsi="仿宋_GB2312" w:eastAsia="仿宋_GB2312" w:cs="仿宋_GB2312"/>
                <w:sz w:val="32"/>
                <w:szCs w:val="32"/>
              </w:rPr>
            </w:pPr>
            <w:r>
              <w:rPr>
                <w:rFonts w:ascii="仿宋_GB2312" w:hAnsi="仿宋_GB2312" w:eastAsia="仿宋_GB2312" w:cs="仿宋_GB2312"/>
                <w:sz w:val="32"/>
                <w:szCs w:val="32"/>
              </w:rPr>
              <w:t>所属行业</w:t>
            </w:r>
          </w:p>
        </w:tc>
        <w:tc>
          <w:tcPr>
            <w:tcW w:w="2405" w:type="dxa"/>
          </w:tcPr>
          <w:p>
            <w:pPr>
              <w:adjustRightInd w:val="0"/>
              <w:snapToGrid w:val="0"/>
              <w:spacing w:before="156" w:beforeLines="50" w:after="156" w:afterLines="50" w:line="276" w:lineRule="auto"/>
              <w:rPr>
                <w:rFonts w:ascii="仿宋_GB2312" w:hAnsi="仿宋_GB2312" w:eastAsia="仿宋_GB2312" w:cs="仿宋_GB2312"/>
                <w:sz w:val="32"/>
                <w:szCs w:val="32"/>
              </w:rPr>
            </w:pPr>
          </w:p>
        </w:tc>
        <w:tc>
          <w:tcPr>
            <w:tcW w:w="1955" w:type="dxa"/>
          </w:tcPr>
          <w:p>
            <w:pPr>
              <w:widowControl/>
              <w:rPr>
                <w:rFonts w:ascii="仿宋_GB2312" w:hAnsi="仿宋_GB2312" w:eastAsia="仿宋_GB2312" w:cs="仿宋_GB2312"/>
                <w:sz w:val="32"/>
                <w:szCs w:val="32"/>
              </w:rPr>
            </w:pPr>
            <w:r>
              <w:rPr>
                <w:rFonts w:ascii="仿宋_GB2312" w:hAnsi="仿宋_GB2312" w:eastAsia="仿宋_GB2312" w:cs="仿宋_GB2312"/>
                <w:sz w:val="32"/>
                <w:szCs w:val="32"/>
              </w:rPr>
              <w:t>企业所在地</w:t>
            </w:r>
          </w:p>
        </w:tc>
        <w:tc>
          <w:tcPr>
            <w:tcW w:w="2165" w:type="dxa"/>
          </w:tcPr>
          <w:p>
            <w:pPr>
              <w:adjustRightInd w:val="0"/>
              <w:snapToGrid w:val="0"/>
              <w:spacing w:before="156" w:beforeLines="50" w:after="156" w:afterLines="50" w:line="276" w:lineRule="auto"/>
              <w:rPr>
                <w:rFonts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trPr>
        <w:tc>
          <w:tcPr>
            <w:tcW w:w="1976" w:type="dxa"/>
          </w:tcPr>
          <w:p>
            <w:pPr>
              <w:widowControl/>
              <w:rPr>
                <w:rFonts w:ascii="仿宋_GB2312" w:hAnsi="仿宋_GB2312" w:eastAsia="仿宋_GB2312" w:cs="仿宋_GB2312"/>
                <w:sz w:val="32"/>
                <w:szCs w:val="32"/>
              </w:rPr>
            </w:pPr>
            <w:r>
              <w:rPr>
                <w:rFonts w:ascii="仿宋_GB2312" w:hAnsi="仿宋_GB2312" w:eastAsia="仿宋_GB2312" w:cs="仿宋_GB2312"/>
                <w:sz w:val="32"/>
                <w:szCs w:val="32"/>
              </w:rPr>
              <w:t>企业联系人</w:t>
            </w:r>
          </w:p>
        </w:tc>
        <w:tc>
          <w:tcPr>
            <w:tcW w:w="2405" w:type="dxa"/>
          </w:tcPr>
          <w:p>
            <w:pPr>
              <w:adjustRightInd w:val="0"/>
              <w:snapToGrid w:val="0"/>
              <w:spacing w:before="156" w:beforeLines="50" w:after="156" w:afterLines="50" w:line="276" w:lineRule="auto"/>
              <w:rPr>
                <w:rFonts w:ascii="仿宋_GB2312" w:hAnsi="仿宋_GB2312" w:eastAsia="仿宋_GB2312" w:cs="仿宋_GB2312"/>
                <w:sz w:val="32"/>
                <w:szCs w:val="32"/>
              </w:rPr>
            </w:pPr>
          </w:p>
        </w:tc>
        <w:tc>
          <w:tcPr>
            <w:tcW w:w="1955" w:type="dxa"/>
          </w:tcPr>
          <w:p>
            <w:pPr>
              <w:widowControl/>
              <w:rPr>
                <w:rFonts w:ascii="仿宋_GB2312" w:hAnsi="仿宋_GB2312" w:eastAsia="仿宋_GB2312" w:cs="仿宋_GB2312"/>
                <w:sz w:val="32"/>
                <w:szCs w:val="32"/>
              </w:rPr>
            </w:pPr>
            <w:r>
              <w:rPr>
                <w:rFonts w:ascii="仿宋_GB2312" w:hAnsi="仿宋_GB2312" w:eastAsia="仿宋_GB2312" w:cs="仿宋_GB2312"/>
                <w:sz w:val="32"/>
                <w:szCs w:val="32"/>
              </w:rPr>
              <w:t>职务</w:t>
            </w:r>
          </w:p>
        </w:tc>
        <w:tc>
          <w:tcPr>
            <w:tcW w:w="2165" w:type="dxa"/>
          </w:tcPr>
          <w:p>
            <w:pPr>
              <w:adjustRightInd w:val="0"/>
              <w:snapToGrid w:val="0"/>
              <w:spacing w:before="156" w:beforeLines="50" w:after="156" w:afterLines="50" w:line="276" w:lineRule="auto"/>
              <w:rPr>
                <w:rFonts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6" w:hRule="atLeast"/>
        </w:trPr>
        <w:tc>
          <w:tcPr>
            <w:tcW w:w="1976" w:type="dxa"/>
          </w:tcPr>
          <w:p>
            <w:pPr>
              <w:widowControl/>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手机</w:t>
            </w:r>
          </w:p>
        </w:tc>
        <w:tc>
          <w:tcPr>
            <w:tcW w:w="2405" w:type="dxa"/>
          </w:tcPr>
          <w:p>
            <w:pPr>
              <w:adjustRightInd w:val="0"/>
              <w:snapToGrid w:val="0"/>
              <w:spacing w:before="156" w:beforeLines="50" w:after="156" w:afterLines="50" w:line="276" w:lineRule="auto"/>
              <w:rPr>
                <w:rFonts w:ascii="仿宋_GB2312" w:hAnsi="仿宋_GB2312" w:eastAsia="仿宋_GB2312" w:cs="仿宋_GB2312"/>
                <w:sz w:val="32"/>
                <w:szCs w:val="32"/>
              </w:rPr>
            </w:pPr>
          </w:p>
        </w:tc>
        <w:tc>
          <w:tcPr>
            <w:tcW w:w="1955" w:type="dxa"/>
          </w:tcPr>
          <w:p>
            <w:pPr>
              <w:widowControl/>
              <w:rPr>
                <w:rFonts w:ascii="仿宋_GB2312" w:hAnsi="仿宋_GB2312" w:eastAsia="仿宋_GB2312" w:cs="仿宋_GB2312"/>
                <w:sz w:val="32"/>
                <w:szCs w:val="32"/>
              </w:rPr>
            </w:pPr>
            <w:r>
              <w:rPr>
                <w:rFonts w:ascii="仿宋_GB2312" w:hAnsi="仿宋_GB2312" w:eastAsia="仿宋_GB2312" w:cs="仿宋_GB2312"/>
                <w:sz w:val="32"/>
                <w:szCs w:val="32"/>
              </w:rPr>
              <w:t>电子邮箱</w:t>
            </w:r>
          </w:p>
        </w:tc>
        <w:tc>
          <w:tcPr>
            <w:tcW w:w="2165" w:type="dxa"/>
          </w:tcPr>
          <w:p>
            <w:pPr>
              <w:adjustRightInd w:val="0"/>
              <w:snapToGrid w:val="0"/>
              <w:spacing w:before="156" w:beforeLines="50" w:after="156" w:afterLines="50" w:line="276" w:lineRule="auto"/>
              <w:rPr>
                <w:rFonts w:ascii="仿宋_GB2312" w:hAnsi="仿宋_GB2312" w:eastAsia="仿宋_GB2312" w:cs="仿宋_GB2312"/>
                <w:sz w:val="32"/>
                <w:szCs w:val="32"/>
              </w:rPr>
            </w:pPr>
          </w:p>
        </w:tc>
      </w:tr>
    </w:tbl>
    <w:p>
      <w:pPr>
        <w:spacing w:line="540" w:lineRule="exact"/>
        <w:contextualSpacing/>
        <w:rPr>
          <w:rFonts w:eastAsia="黑体"/>
          <w:b/>
          <w:sz w:val="32"/>
          <w:szCs w:val="32"/>
        </w:rPr>
      </w:pPr>
      <w:r>
        <w:rPr>
          <w:rFonts w:eastAsia="黑体"/>
          <w:b/>
          <w:sz w:val="32"/>
          <w:szCs w:val="32"/>
        </w:rPr>
        <w:t>注意事项：</w:t>
      </w:r>
    </w:p>
    <w:p>
      <w:pPr>
        <w:ind w:left="1940" w:leftChars="300" w:right="420" w:hanging="1280" w:hangingChars="4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开户申请</w:t>
      </w:r>
      <w:r>
        <w:rPr>
          <w:rFonts w:ascii="仿宋_GB2312" w:hAnsi="仿宋_GB2312" w:eastAsia="仿宋_GB2312" w:cs="仿宋_GB2312"/>
          <w:sz w:val="32"/>
          <w:szCs w:val="32"/>
          <w:lang w:eastAsia="zh-CN"/>
        </w:rPr>
        <w:t>截止日期为</w:t>
      </w:r>
      <w:r>
        <w:rPr>
          <w:rFonts w:hint="eastAsia" w:ascii="仿宋_GB2312" w:hAnsi="仿宋_GB2312" w:eastAsia="仿宋_GB2312" w:cs="仿宋_GB2312"/>
          <w:sz w:val="32"/>
          <w:szCs w:val="32"/>
          <w:lang w:eastAsia="zh-CN"/>
        </w:rPr>
        <w:t>2020年3</w:t>
      </w:r>
      <w:r>
        <w:rPr>
          <w:rFonts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eastAsia="zh-CN"/>
        </w:rPr>
        <w:t>31</w:t>
      </w:r>
      <w:r>
        <w:rPr>
          <w:rFonts w:ascii="仿宋_GB2312" w:hAnsi="仿宋_GB2312" w:eastAsia="仿宋_GB2312" w:cs="仿宋_GB2312"/>
          <w:sz w:val="32"/>
          <w:szCs w:val="32"/>
          <w:lang w:eastAsia="zh-CN"/>
        </w:rPr>
        <w:t>日。</w:t>
      </w:r>
    </w:p>
    <w:p>
      <w:pPr>
        <w:ind w:left="1940" w:leftChars="300" w:right="420" w:hanging="1280" w:hangingChars="400"/>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eastAsia="zh-CN"/>
        </w:rPr>
        <w:t>董丽珺</w:t>
      </w:r>
    </w:p>
    <w:p>
      <w:pPr>
        <w:ind w:left="1940" w:leftChars="300" w:right="420" w:hanging="1280" w:hangingChars="400"/>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eastAsia="zh-CN"/>
        </w:rPr>
        <w:t>13817430167</w:t>
      </w:r>
    </w:p>
    <w:p>
      <w:pPr>
        <w:ind w:left="1940" w:leftChars="300" w:right="420" w:hanging="1280" w:hangingChars="400"/>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报名邮箱：</w:t>
      </w:r>
      <w:r>
        <w:rPr>
          <w:rFonts w:hint="eastAsia" w:ascii="仿宋_GB2312" w:hAnsi="仿宋_GB2312" w:eastAsia="仿宋_GB2312" w:cs="仿宋_GB2312"/>
          <w:sz w:val="32"/>
          <w:szCs w:val="32"/>
          <w:lang w:eastAsia="zh-CN"/>
        </w:rPr>
        <w:t>249993356@qq.com</w:t>
      </w:r>
    </w:p>
    <w:p>
      <w:pPr>
        <w:ind w:right="420"/>
        <w:rPr>
          <w:rFonts w:ascii="黑体" w:hAnsi="黑体" w:eastAsia="黑体" w:cs="黑体"/>
          <w:sz w:val="32"/>
          <w:szCs w:val="32"/>
          <w:lang w:eastAsia="zh-CN"/>
        </w:rPr>
      </w:pPr>
    </w:p>
    <w:p>
      <w:pPr>
        <w:ind w:right="420"/>
        <w:rPr>
          <w:rFonts w:ascii="黑体" w:hAnsi="黑体" w:eastAsia="黑体" w:cs="黑体"/>
          <w:sz w:val="32"/>
          <w:szCs w:val="32"/>
          <w:lang w:eastAsia="zh-CN"/>
        </w:rPr>
      </w:pPr>
    </w:p>
    <w:p>
      <w:pPr>
        <w:ind w:right="420"/>
        <w:rPr>
          <w:rFonts w:ascii="黑体" w:hAnsi="黑体" w:eastAsia="黑体" w:cs="黑体"/>
          <w:sz w:val="32"/>
          <w:szCs w:val="32"/>
          <w:lang w:eastAsia="zh-CN"/>
        </w:rPr>
      </w:pPr>
    </w:p>
    <w:p>
      <w:pPr>
        <w:ind w:right="420"/>
        <w:rPr>
          <w:rFonts w:ascii="黑体" w:hAnsi="黑体" w:eastAsia="黑体" w:cs="黑体"/>
          <w:sz w:val="32"/>
          <w:szCs w:val="32"/>
          <w:lang w:eastAsia="zh-CN"/>
        </w:rPr>
      </w:pPr>
    </w:p>
    <w:p>
      <w:pPr>
        <w:ind w:right="420"/>
        <w:rPr>
          <w:rFonts w:ascii="黑体" w:hAnsi="黑体" w:eastAsia="黑体" w:cs="黑体"/>
          <w:sz w:val="32"/>
          <w:szCs w:val="32"/>
          <w:lang w:eastAsia="zh-CN"/>
        </w:rPr>
      </w:pPr>
    </w:p>
    <w:p>
      <w:pPr>
        <w:ind w:right="420"/>
        <w:rPr>
          <w:rFonts w:ascii="黑体" w:hAnsi="黑体" w:eastAsia="黑体" w:cs="黑体"/>
          <w:sz w:val="32"/>
          <w:szCs w:val="32"/>
          <w:lang w:eastAsia="zh-CN"/>
        </w:rPr>
      </w:pPr>
    </w:p>
    <w:p>
      <w:pPr>
        <w:ind w:right="420"/>
        <w:rPr>
          <w:rFonts w:ascii="黑体" w:hAnsi="黑体" w:eastAsia="黑体" w:cs="黑体"/>
          <w:sz w:val="32"/>
          <w:szCs w:val="32"/>
          <w:lang w:eastAsia="zh-CN"/>
        </w:rPr>
      </w:pPr>
    </w:p>
    <w:p>
      <w:pPr>
        <w:ind w:right="420"/>
        <w:rPr>
          <w:rFonts w:ascii="黑体" w:hAnsi="黑体" w:eastAsia="黑体" w:cs="黑体"/>
          <w:sz w:val="32"/>
          <w:szCs w:val="32"/>
          <w:lang w:eastAsia="zh-CN"/>
        </w:rPr>
      </w:pPr>
    </w:p>
    <w:p>
      <w:pPr>
        <w:rPr>
          <w:rFonts w:ascii="黑体" w:hAnsi="黑体" w:eastAsia="黑体" w:cs="黑体"/>
          <w:sz w:val="32"/>
          <w:szCs w:val="32"/>
          <w:lang w:eastAsia="zh-CN"/>
        </w:rPr>
      </w:pPr>
      <w:r>
        <w:rPr>
          <w:rFonts w:hint="eastAsia" w:ascii="黑体" w:hAnsi="黑体" w:eastAsia="黑体" w:cs="黑体"/>
          <w:sz w:val="32"/>
          <w:szCs w:val="32"/>
          <w:lang w:eastAsia="zh-CN"/>
        </w:rPr>
        <w:br w:type="page"/>
      </w:r>
    </w:p>
    <w:p>
      <w:pPr>
        <w:ind w:right="420"/>
        <w:rPr>
          <w:rFonts w:ascii="黑体" w:hAnsi="黑体" w:eastAsia="黑体" w:cs="黑体"/>
          <w:sz w:val="32"/>
          <w:szCs w:val="32"/>
          <w:lang w:eastAsia="zh-CN"/>
        </w:rPr>
      </w:pPr>
      <w:r>
        <w:rPr>
          <w:rFonts w:hint="eastAsia" w:ascii="黑体" w:hAnsi="黑体" w:eastAsia="黑体" w:cs="黑体"/>
          <w:sz w:val="32"/>
          <w:szCs w:val="32"/>
          <w:lang w:eastAsia="zh-CN"/>
        </w:rPr>
        <w:t>附件2：</w:t>
      </w:r>
    </w:p>
    <w:p>
      <w:pPr>
        <w:spacing w:line="500" w:lineRule="exact"/>
        <w:contextualSpacing/>
        <w:jc w:val="center"/>
        <w:rPr>
          <w:rFonts w:ascii="黑体" w:hAnsi="黑体" w:eastAsia="黑体" w:cs="黑体"/>
          <w:sz w:val="32"/>
          <w:szCs w:val="32"/>
          <w:lang w:eastAsia="zh-CN"/>
        </w:rPr>
      </w:pPr>
      <w:r>
        <w:rPr>
          <w:rFonts w:hint="eastAsia" w:ascii="黑体" w:hAnsi="黑体" w:eastAsia="黑体" w:cs="黑体"/>
          <w:sz w:val="32"/>
          <w:szCs w:val="32"/>
          <w:lang w:eastAsia="zh-CN"/>
        </w:rPr>
        <w:t>46门企业管理体系优质网络课程</w:t>
      </w:r>
    </w:p>
    <w:tbl>
      <w:tblPr>
        <w:tblStyle w:val="8"/>
        <w:tblpPr w:leftFromText="180" w:rightFromText="180" w:vertAnchor="text" w:tblpXSpec="center" w:tblpY="1"/>
        <w:tblOverlap w:val="never"/>
        <w:tblW w:w="10623" w:type="dxa"/>
        <w:tblInd w:w="0" w:type="dxa"/>
        <w:tblLayout w:type="fixed"/>
        <w:tblCellMar>
          <w:top w:w="0" w:type="dxa"/>
          <w:left w:w="0" w:type="dxa"/>
          <w:bottom w:w="0" w:type="dxa"/>
          <w:right w:w="0" w:type="dxa"/>
        </w:tblCellMar>
      </w:tblPr>
      <w:tblGrid>
        <w:gridCol w:w="1189"/>
        <w:gridCol w:w="1392"/>
        <w:gridCol w:w="2613"/>
        <w:gridCol w:w="5429"/>
      </w:tblGrid>
      <w:tr>
        <w:tblPrEx>
          <w:tblCellMar>
            <w:top w:w="0" w:type="dxa"/>
            <w:left w:w="0" w:type="dxa"/>
            <w:bottom w:w="0" w:type="dxa"/>
            <w:right w:w="0" w:type="dxa"/>
          </w:tblCellMar>
        </w:tblPrEx>
        <w:trPr>
          <w:trHeight w:val="684" w:hRule="atLeast"/>
        </w:trPr>
        <w:tc>
          <w:tcPr>
            <w:tcW w:w="1189" w:type="dxa"/>
            <w:tcBorders>
              <w:top w:val="single" w:color="auto" w:sz="4" w:space="0"/>
              <w:left w:val="single" w:color="auto" w:sz="4" w:space="0"/>
              <w:bottom w:val="single" w:color="auto" w:sz="4" w:space="0"/>
              <w:right w:val="single" w:color="auto" w:sz="4" w:space="0"/>
            </w:tcBorders>
            <w:shd w:val="clear" w:color="auto" w:fill="4F81BD"/>
            <w:tcMar>
              <w:top w:w="15" w:type="dxa"/>
              <w:left w:w="15" w:type="dxa"/>
              <w:right w:w="15" w:type="dxa"/>
            </w:tcMar>
            <w:vAlign w:val="center"/>
          </w:tcPr>
          <w:p>
            <w:pPr>
              <w:widowControl/>
              <w:jc w:val="center"/>
              <w:textAlignment w:val="center"/>
              <w:rPr>
                <w:rFonts w:ascii="仿宋_GB2312" w:eastAsia="仿宋_GB2312"/>
                <w:b/>
                <w:color w:val="FFFFFF"/>
                <w:sz w:val="32"/>
                <w:szCs w:val="32"/>
              </w:rPr>
            </w:pPr>
            <w:r>
              <w:rPr>
                <w:rFonts w:hint="eastAsia" w:ascii="仿宋_GB2312" w:eastAsia="仿宋_GB2312"/>
                <w:b/>
                <w:color w:val="FFFFFF"/>
                <w:sz w:val="32"/>
                <w:szCs w:val="32"/>
              </w:rPr>
              <w:t>板块</w:t>
            </w:r>
          </w:p>
        </w:tc>
        <w:tc>
          <w:tcPr>
            <w:tcW w:w="1392" w:type="dxa"/>
            <w:tcBorders>
              <w:top w:val="single" w:color="auto" w:sz="4" w:space="0"/>
              <w:left w:val="single" w:color="auto" w:sz="4" w:space="0"/>
              <w:bottom w:val="single" w:color="auto" w:sz="4" w:space="0"/>
              <w:right w:val="single" w:color="auto" w:sz="4" w:space="0"/>
            </w:tcBorders>
            <w:shd w:val="clear" w:color="auto" w:fill="4F81BD"/>
            <w:tcMar>
              <w:top w:w="15" w:type="dxa"/>
              <w:left w:w="15" w:type="dxa"/>
              <w:right w:w="15" w:type="dxa"/>
            </w:tcMar>
            <w:vAlign w:val="center"/>
          </w:tcPr>
          <w:p>
            <w:pPr>
              <w:widowControl/>
              <w:jc w:val="center"/>
              <w:textAlignment w:val="center"/>
              <w:rPr>
                <w:rFonts w:ascii="仿宋_GB2312" w:eastAsia="仿宋_GB2312"/>
                <w:b/>
                <w:color w:val="FFFFFF"/>
                <w:sz w:val="32"/>
                <w:szCs w:val="32"/>
              </w:rPr>
            </w:pPr>
            <w:r>
              <w:rPr>
                <w:rFonts w:hint="eastAsia" w:ascii="仿宋_GB2312" w:eastAsia="仿宋_GB2312"/>
                <w:b/>
                <w:color w:val="FFFFFF"/>
                <w:sz w:val="32"/>
                <w:szCs w:val="32"/>
              </w:rPr>
              <w:t>模块</w:t>
            </w:r>
          </w:p>
        </w:tc>
        <w:tc>
          <w:tcPr>
            <w:tcW w:w="2613" w:type="dxa"/>
            <w:tcBorders>
              <w:top w:val="single" w:color="auto" w:sz="4" w:space="0"/>
              <w:left w:val="single" w:color="auto" w:sz="4" w:space="0"/>
              <w:bottom w:val="single" w:color="auto" w:sz="4" w:space="0"/>
              <w:right w:val="single" w:color="auto" w:sz="4" w:space="0"/>
            </w:tcBorders>
            <w:shd w:val="clear" w:color="auto" w:fill="4F81BD"/>
            <w:tcMar>
              <w:top w:w="15" w:type="dxa"/>
              <w:left w:w="15" w:type="dxa"/>
              <w:right w:w="15" w:type="dxa"/>
            </w:tcMar>
            <w:vAlign w:val="center"/>
          </w:tcPr>
          <w:p>
            <w:pPr>
              <w:widowControl/>
              <w:jc w:val="center"/>
              <w:textAlignment w:val="center"/>
              <w:rPr>
                <w:rFonts w:ascii="仿宋_GB2312" w:eastAsia="仿宋_GB2312"/>
                <w:b/>
                <w:color w:val="FFFFFF"/>
                <w:sz w:val="32"/>
                <w:szCs w:val="32"/>
              </w:rPr>
            </w:pPr>
            <w:r>
              <w:rPr>
                <w:rFonts w:hint="eastAsia" w:ascii="仿宋_GB2312" w:eastAsia="仿宋_GB2312"/>
                <w:b/>
                <w:color w:val="FFFFFF"/>
                <w:sz w:val="32"/>
                <w:szCs w:val="32"/>
              </w:rPr>
              <w:t>课程</w:t>
            </w:r>
          </w:p>
        </w:tc>
        <w:tc>
          <w:tcPr>
            <w:tcW w:w="5429" w:type="dxa"/>
            <w:tcBorders>
              <w:top w:val="single" w:color="auto" w:sz="4" w:space="0"/>
              <w:left w:val="single" w:color="auto" w:sz="4" w:space="0"/>
              <w:bottom w:val="single" w:color="auto" w:sz="4" w:space="0"/>
              <w:right w:val="single" w:color="auto" w:sz="4" w:space="0"/>
            </w:tcBorders>
            <w:shd w:val="clear" w:color="auto" w:fill="4F81BD"/>
            <w:tcMar>
              <w:top w:w="15" w:type="dxa"/>
              <w:left w:w="15" w:type="dxa"/>
              <w:right w:w="15" w:type="dxa"/>
            </w:tcMar>
            <w:vAlign w:val="center"/>
          </w:tcPr>
          <w:p>
            <w:pPr>
              <w:widowControl/>
              <w:jc w:val="center"/>
              <w:textAlignment w:val="center"/>
              <w:rPr>
                <w:rFonts w:hint="eastAsia" w:ascii="仿宋_GB2312" w:eastAsia="仿宋_GB2312"/>
                <w:b/>
                <w:color w:val="FFFFFF"/>
                <w:sz w:val="32"/>
                <w:szCs w:val="32"/>
              </w:rPr>
            </w:pPr>
            <w:r>
              <w:rPr>
                <w:rFonts w:hint="eastAsia" w:ascii="仿宋_GB2312" w:eastAsia="仿宋_GB2312"/>
                <w:b/>
                <w:color w:val="FFFFFF"/>
                <w:sz w:val="32"/>
                <w:szCs w:val="32"/>
              </w:rPr>
              <w:t>老师</w:t>
            </w:r>
          </w:p>
        </w:tc>
      </w:tr>
      <w:tr>
        <w:tblPrEx>
          <w:tblCellMar>
            <w:top w:w="0" w:type="dxa"/>
            <w:left w:w="0" w:type="dxa"/>
            <w:bottom w:w="0" w:type="dxa"/>
            <w:right w:w="0" w:type="dxa"/>
          </w:tblCellMar>
        </w:tblPrEx>
        <w:trPr>
          <w:trHeight w:val="318" w:hRule="atLeast"/>
        </w:trPr>
        <w:tc>
          <w:tcPr>
            <w:tcW w:w="118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领导力</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（16门）</w:t>
            </w:r>
          </w:p>
        </w:tc>
        <w:tc>
          <w:tcPr>
            <w:tcW w:w="1392"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模块一：</w:t>
            </w:r>
          </w:p>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领导风格</w:t>
            </w:r>
            <w:r>
              <w:rPr>
                <w:rFonts w:hint="eastAsia" w:ascii="仿宋_GB2312" w:hAnsi="仿宋_GB2312" w:eastAsia="仿宋_GB2312" w:cs="仿宋_GB2312"/>
                <w:sz w:val="22"/>
                <w:szCs w:val="22"/>
                <w:lang w:eastAsia="zh-CN"/>
              </w:rPr>
              <w:br w:type="textWrapping"/>
            </w:r>
            <w:r>
              <w:rPr>
                <w:rFonts w:hint="eastAsia" w:ascii="仿宋_GB2312" w:hAnsi="仿宋_GB2312" w:eastAsia="仿宋_GB2312" w:cs="仿宋_GB2312"/>
                <w:sz w:val="22"/>
                <w:szCs w:val="22"/>
                <w:lang w:eastAsia="zh-CN"/>
              </w:rPr>
              <w:t>（4门）</w:t>
            </w:r>
          </w:p>
        </w:tc>
        <w:tc>
          <w:tcPr>
            <w:tcW w:w="261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变革环境下的卓越领导力</w:t>
            </w:r>
          </w:p>
        </w:tc>
        <w:tc>
          <w:tcPr>
            <w:tcW w:w="542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梁钧平</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北京大学光华管理学院教授，组织管理系主任，</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博士生导师</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优秀领导如何</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打造狼性团队</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邢涛</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团队管理专家，企业战略、人力资源、运营管控专家，北京大学、清华大学等客座教授</w:t>
            </w:r>
          </w:p>
        </w:tc>
      </w:tr>
      <w:tr>
        <w:tblPrEx>
          <w:tblCellMar>
            <w:top w:w="0" w:type="dxa"/>
            <w:left w:w="0" w:type="dxa"/>
            <w:bottom w:w="0" w:type="dxa"/>
            <w:right w:w="0" w:type="dxa"/>
          </w:tblCellMar>
        </w:tblPrEx>
        <w:trPr>
          <w:trHeight w:val="610"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情感智能</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rPr>
              <w:t>与领导力</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王玉南</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澳洲大学DBA、澳大利亚国立大学MBA、Genos EI情感智能中国首席讲师、宝马集团、华为大学特聘讲师</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中层管理者的四种</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领导角色</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rPr>
              <w:t>孟志强</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中国自运营管理第一人，国内实战派管理咨询专家</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模块二：</w:t>
            </w:r>
          </w:p>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决策与执行</w:t>
            </w:r>
            <w:r>
              <w:rPr>
                <w:rFonts w:hint="eastAsia" w:ascii="仿宋_GB2312" w:hAnsi="仿宋_GB2312" w:eastAsia="仿宋_GB2312" w:cs="仿宋_GB2312"/>
                <w:sz w:val="22"/>
                <w:szCs w:val="22"/>
                <w:lang w:eastAsia="zh-CN"/>
              </w:rPr>
              <w:br w:type="textWrapping"/>
            </w:r>
            <w:r>
              <w:rPr>
                <w:rFonts w:hint="eastAsia" w:ascii="仿宋_GB2312" w:hAnsi="仿宋_GB2312" w:eastAsia="仿宋_GB2312" w:cs="仿宋_GB2312"/>
                <w:sz w:val="22"/>
                <w:szCs w:val="22"/>
                <w:lang w:eastAsia="zh-CN"/>
              </w:rPr>
              <w:t>（3门）</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问题分析与解决5步走</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eastAsia="zh-CN"/>
              </w:rPr>
              <w:t>朱宪</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量子大学事业合伙人，资深领导力设计专家</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项目的目标计划与过程控制</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肖振峰</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腾讯集团八年高管与培训实战经验、腾讯集团资深项目经理，国际认证项目管理专家</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打造组织活力，提升组织效率</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陈慧北京邮电大学经济管理学院教授，</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心理学博士、博生导师</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模块三：</w:t>
            </w:r>
          </w:p>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管理与沟通</w:t>
            </w:r>
            <w:r>
              <w:rPr>
                <w:rFonts w:hint="eastAsia" w:ascii="仿宋_GB2312" w:hAnsi="仿宋_GB2312" w:eastAsia="仿宋_GB2312" w:cs="仿宋_GB2312"/>
                <w:sz w:val="22"/>
                <w:szCs w:val="22"/>
                <w:lang w:eastAsia="zh-CN"/>
              </w:rPr>
              <w:br w:type="textWrapping"/>
            </w:r>
            <w:r>
              <w:rPr>
                <w:rFonts w:hint="eastAsia" w:ascii="仿宋_GB2312" w:hAnsi="仿宋_GB2312" w:eastAsia="仿宋_GB2312" w:cs="仿宋_GB2312"/>
                <w:sz w:val="22"/>
                <w:szCs w:val="22"/>
                <w:lang w:eastAsia="zh-CN"/>
              </w:rPr>
              <w:t>（6门）</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管理的要义</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邢以群浙江大学管理学院教授，浙江大学组织与战略研究所副所长</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管理心理学：如何挖掘人性深处的</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源动力</w:t>
            </w:r>
          </w:p>
        </w:tc>
        <w:tc>
          <w:tcPr>
            <w:tcW w:w="5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施俊琦长江学者，中山大学岭南学院教授、博导</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老板的法律风险防范课</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eastAsia="zh-CN"/>
              </w:rPr>
              <w:t>沈志坤</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量子大学联合创始人、校董，国内知名律师、浙江大学资深法律专家</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超效沟通：职场高效沟通技巧</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尚旭东曾在海尔集团担任管理职务十二年、量子大学事业合伙人、管理畅销书作家</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管理者如何用“心”与员工</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有效沟通</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eastAsia="zh-CN"/>
              </w:rPr>
              <w:t>施怡彤</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应用心理学博士，知名心理专家，北京大学首批企业心理导师，企业管理与人力资源开发管理实战专家</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推倒部门墙：跨部门沟通与合作</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吕憬芊</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沟通、谈判、管理职业培训师</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上海交大特邀教授</w:t>
            </w:r>
          </w:p>
        </w:tc>
      </w:tr>
      <w:tr>
        <w:tblPrEx>
          <w:tblCellMar>
            <w:top w:w="0" w:type="dxa"/>
            <w:left w:w="0" w:type="dxa"/>
            <w:bottom w:w="0" w:type="dxa"/>
            <w:right w:w="0" w:type="dxa"/>
          </w:tblCellMar>
        </w:tblPrEx>
        <w:trPr>
          <w:trHeight w:val="978"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模块四：</w:t>
            </w:r>
          </w:p>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哲思的力量</w:t>
            </w:r>
            <w:r>
              <w:rPr>
                <w:rFonts w:hint="eastAsia" w:ascii="仿宋_GB2312" w:hAnsi="仿宋_GB2312" w:eastAsia="仿宋_GB2312" w:cs="仿宋_GB2312"/>
                <w:sz w:val="22"/>
                <w:szCs w:val="22"/>
                <w:lang w:eastAsia="zh-CN"/>
              </w:rPr>
              <w:br w:type="textWrapping"/>
            </w:r>
            <w:r>
              <w:rPr>
                <w:rFonts w:hint="eastAsia" w:ascii="仿宋_GB2312" w:hAnsi="仿宋_GB2312" w:eastAsia="仿宋_GB2312" w:cs="仿宋_GB2312"/>
                <w:sz w:val="22"/>
                <w:szCs w:val="22"/>
                <w:lang w:eastAsia="zh-CN"/>
              </w:rPr>
              <w:t>（3门）</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孙子兵法与企业经营战略</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eastAsia="zh-CN"/>
              </w:rPr>
              <w:t>薛国安</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国防大学战略教研部原副主任、孙子兵法研究中心主任、教授、博导、将军</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中国传统文化的智慧与思辩</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王守常</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著名学者，北京大学哲学系教授，北京大学中国哲学与文化研究所所长</w:t>
            </w:r>
          </w:p>
        </w:tc>
      </w:tr>
      <w:tr>
        <w:tblPrEx>
          <w:tblCellMar>
            <w:top w:w="0" w:type="dxa"/>
            <w:left w:w="0" w:type="dxa"/>
            <w:bottom w:w="0" w:type="dxa"/>
            <w:right w:w="0" w:type="dxa"/>
          </w:tblCellMar>
        </w:tblPrEx>
        <w:trPr>
          <w:trHeight w:val="313"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战略</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（4门）</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模块五：</w:t>
            </w:r>
          </w:p>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战略与执行</w:t>
            </w:r>
            <w:r>
              <w:rPr>
                <w:rFonts w:hint="eastAsia" w:ascii="仿宋_GB2312" w:hAnsi="仿宋_GB2312" w:eastAsia="仿宋_GB2312" w:cs="仿宋_GB2312"/>
                <w:sz w:val="22"/>
                <w:szCs w:val="22"/>
                <w:lang w:eastAsia="zh-CN"/>
              </w:rPr>
              <w:br w:type="textWrapping"/>
            </w:r>
            <w:r>
              <w:rPr>
                <w:rFonts w:hint="eastAsia" w:ascii="仿宋_GB2312" w:hAnsi="仿宋_GB2312" w:eastAsia="仿宋_GB2312" w:cs="仿宋_GB2312"/>
                <w:sz w:val="22"/>
                <w:szCs w:val="22"/>
                <w:lang w:eastAsia="zh-CN"/>
              </w:rPr>
              <w:t>（4门）</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人力资源管理全景视角</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许玉林</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中国人民大学劳动人事学院教授，著名战略人力资源管理专家，中国人力资源理论创始学者之一</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中国企业战略转型与创新</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潘诚</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企业问题研究专家，国际注册管理咨询师，北大清华等多所高校总裁班最受欢迎老师之一，管理畅销书《礼物》的中文版译者，出版多本管理专著</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企业如何打造商业模式的护城河？</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宁钟</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英国牛津大学博士后、复旦大学教授、博士生导师</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企业战略的定位与配称</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eastAsia="zh-CN"/>
              </w:rPr>
              <w:t>潘亦藩</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量子大学事业合伙人，曾任特大型国有企业集团营销副总、大型民营企业集团总经理、新加坡上市公司总裁</w:t>
            </w:r>
          </w:p>
        </w:tc>
      </w:tr>
      <w:tr>
        <w:tblPrEx>
          <w:tblCellMar>
            <w:top w:w="0" w:type="dxa"/>
            <w:left w:w="0" w:type="dxa"/>
            <w:bottom w:w="0" w:type="dxa"/>
            <w:right w:w="0" w:type="dxa"/>
          </w:tblCellMar>
        </w:tblPrEx>
        <w:trPr>
          <w:trHeight w:val="313"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人力资源</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管理</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（4门）</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模块六：</w:t>
            </w:r>
          </w:p>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组织能力建设</w:t>
            </w:r>
            <w:r>
              <w:rPr>
                <w:rFonts w:hint="eastAsia" w:ascii="仿宋_GB2312" w:hAnsi="仿宋_GB2312" w:eastAsia="仿宋_GB2312" w:cs="仿宋_GB2312"/>
                <w:sz w:val="22"/>
                <w:szCs w:val="22"/>
                <w:lang w:eastAsia="zh-CN"/>
              </w:rPr>
              <w:br w:type="textWrapping"/>
            </w:r>
            <w:r>
              <w:rPr>
                <w:rFonts w:hint="eastAsia" w:ascii="仿宋_GB2312" w:hAnsi="仿宋_GB2312" w:eastAsia="仿宋_GB2312" w:cs="仿宋_GB2312"/>
                <w:sz w:val="22"/>
                <w:szCs w:val="22"/>
                <w:lang w:eastAsia="zh-CN"/>
              </w:rPr>
              <w:t>（4门）</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阿里巴巴创业干货19讲</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eastAsia="zh-CN"/>
              </w:rPr>
              <w:t>张璞</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阿里巴巴创业元老，第38号员工，阿里学院创始院长，原阿里人力资源总监</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前华为人力副总裁：以人致胜</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吴建国</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原华为人力资源副总裁，管理畅销书《华为的世界》第一作者</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向世界500强学绩效管理</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val="en-US" w:eastAsia="zh-CN"/>
              </w:rPr>
              <w:t>姚琼 曾任微软大中华区培训经理，英特尔渠道销售项目培训师，美国纳斯达克上市公司大中华区人事总监</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目标管理与绩效考核</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娄萌</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实战型人力资源专家，中国人民大学管理学博士，清华大学、浙江大学多所高校EMBA课程研修班主讲老师</w:t>
            </w:r>
          </w:p>
        </w:tc>
      </w:tr>
      <w:tr>
        <w:tblPrEx>
          <w:tblCellMar>
            <w:top w:w="0" w:type="dxa"/>
            <w:left w:w="0" w:type="dxa"/>
            <w:bottom w:w="0" w:type="dxa"/>
            <w:right w:w="0" w:type="dxa"/>
          </w:tblCellMar>
        </w:tblPrEx>
        <w:trPr>
          <w:trHeight w:val="313"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市场营销</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（7门）</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模块七：</w:t>
            </w:r>
          </w:p>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营销与市场</w:t>
            </w:r>
            <w:r>
              <w:rPr>
                <w:rFonts w:hint="eastAsia" w:ascii="仿宋_GB2312" w:hAnsi="仿宋_GB2312" w:eastAsia="仿宋_GB2312" w:cs="仿宋_GB2312"/>
                <w:sz w:val="22"/>
                <w:szCs w:val="22"/>
                <w:lang w:eastAsia="zh-CN"/>
              </w:rPr>
              <w:br w:type="textWrapping"/>
            </w:r>
            <w:r>
              <w:rPr>
                <w:rFonts w:hint="eastAsia" w:ascii="仿宋_GB2312" w:hAnsi="仿宋_GB2312" w:eastAsia="仿宋_GB2312" w:cs="仿宋_GB2312"/>
                <w:sz w:val="22"/>
                <w:szCs w:val="22"/>
                <w:lang w:eastAsia="zh-CN"/>
              </w:rPr>
              <w:t>（7门）</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组织类大客户销售与关系管理</w:t>
            </w:r>
          </w:p>
        </w:tc>
        <w:tc>
          <w:tcPr>
            <w:tcW w:w="5429" w:type="dxa"/>
            <w:tcBorders>
              <w:top w:val="single" w:color="2B2B2B" w:sz="4" w:space="0"/>
              <w:left w:val="nil"/>
              <w:bottom w:val="single" w:color="2B2B2B" w:sz="4" w:space="0"/>
              <w:right w:val="single" w:color="2B2B2B" w:sz="4" w:space="0"/>
            </w:tcBorders>
            <w:shd w:val="clear" w:color="auto" w:fill="auto"/>
            <w:tcMar>
              <w:top w:w="15" w:type="dxa"/>
              <w:left w:w="15" w:type="dxa"/>
              <w:right w:w="15" w:type="dxa"/>
            </w:tcMar>
            <w:vAlign w:val="center"/>
          </w:tcPr>
          <w:p>
            <w:pPr>
              <w:spacing w:beforeLines="0" w:afterLines="0"/>
              <w:jc w:val="left"/>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薛维舟</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上海交通大学EMBA讲师，实战营销专家和战略管理专家、工商管理博士、大型IT企业战略顾问</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新零售人货场战略</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eastAsia="zh-CN"/>
              </w:rPr>
              <w:t>刘官华</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新零售畅销书《人货场论》作者，曾任腾讯战略顾问</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打造销售铁军的捷径</w:t>
            </w:r>
          </w:p>
        </w:tc>
        <w:tc>
          <w:tcPr>
            <w:tcW w:w="5429" w:type="dxa"/>
            <w:tcBorders>
              <w:top w:val="single" w:color="2B2B2B" w:sz="4" w:space="0"/>
              <w:left w:val="nil"/>
              <w:bottom w:val="nil"/>
              <w:right w:val="single" w:color="2B2B2B" w:sz="4" w:space="0"/>
            </w:tcBorders>
            <w:shd w:val="clear" w:color="auto" w:fill="auto"/>
            <w:tcMar>
              <w:top w:w="15" w:type="dxa"/>
              <w:left w:w="15" w:type="dxa"/>
              <w:right w:w="15" w:type="dxa"/>
            </w:tcMar>
            <w:vAlign w:val="center"/>
          </w:tcPr>
          <w:p>
            <w:pPr>
              <w:spacing w:beforeLines="0" w:afterLines="0"/>
              <w:jc w:val="left"/>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张坚</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原思科公司中国区副总裁，曾带领团队完成2亿美元的经营目标；原中国惠普政府事业部总经理</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痛点营销：</w:t>
            </w:r>
          </w:p>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让企业没有卖不出去的产品</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任超一</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中国品牌战略专家，《痛点营销》理论创始人，被企业家誉为“国内最接地气的咨询专家”</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张晓岚的13堂低成本营销课</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张晓岚中国著名营销战略家，中国十大策划人，中国十大影视广告导演</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疯卖：如何让你的产品被疯抢？</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何俊锋</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畅销书《疯卖》作者 ，招商策划专家，招商赢天下创始人</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6招打造千万级影响力</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水木然</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百万级畅销书作者，文章累计阅读量超10亿，每日曝光过百万。</w:t>
            </w:r>
          </w:p>
        </w:tc>
      </w:tr>
      <w:tr>
        <w:tblPrEx>
          <w:tblCellMar>
            <w:top w:w="0" w:type="dxa"/>
            <w:left w:w="0" w:type="dxa"/>
            <w:bottom w:w="0" w:type="dxa"/>
            <w:right w:w="0" w:type="dxa"/>
          </w:tblCellMar>
        </w:tblPrEx>
        <w:trPr>
          <w:trHeight w:val="313"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财务管理</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（6门）</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模块八：</w:t>
            </w:r>
          </w:p>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财务税务</w:t>
            </w:r>
            <w:r>
              <w:rPr>
                <w:rFonts w:hint="eastAsia" w:ascii="仿宋_GB2312" w:hAnsi="仿宋_GB2312" w:eastAsia="仿宋_GB2312" w:cs="仿宋_GB2312"/>
                <w:sz w:val="22"/>
                <w:szCs w:val="22"/>
                <w:lang w:eastAsia="zh-CN"/>
              </w:rPr>
              <w:br w:type="textWrapping"/>
            </w:r>
            <w:r>
              <w:rPr>
                <w:rFonts w:hint="eastAsia" w:ascii="仿宋_GB2312" w:hAnsi="仿宋_GB2312" w:eastAsia="仿宋_GB2312" w:cs="仿宋_GB2312"/>
                <w:sz w:val="22"/>
                <w:szCs w:val="22"/>
                <w:lang w:eastAsia="zh-CN"/>
              </w:rPr>
              <w:t>（3门）</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应收款项的催收思路和技巧</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屠建清</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高级会计师，曾担任国有、民营企业副总经理等高级管理18年，兼任某会计师、税务师事务所副所长。曾获“飞马金奖”、“共和国建设功臣”、“世界华人杰出创新人物”等荣誉称号</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合理避税18招</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鲍灵光</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国地税系统知名国际税收与反避税培训专家，国际税法资深研究者</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预算编制流程及难点应对</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袁国辉</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会计学硕士，高级会计师。曾任职于华为、中国卫星等知名企业，先后担任财务经理、集团财务部副总经理、子公司财务总监等职</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模块九：</w:t>
            </w:r>
          </w:p>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管理会计</w:t>
            </w:r>
            <w:r>
              <w:rPr>
                <w:rFonts w:hint="eastAsia" w:ascii="仿宋_GB2312" w:hAnsi="仿宋_GB2312" w:eastAsia="仿宋_GB2312" w:cs="仿宋_GB2312"/>
                <w:sz w:val="22"/>
                <w:szCs w:val="22"/>
                <w:lang w:eastAsia="zh-CN"/>
              </w:rPr>
              <w:br w:type="textWrapping"/>
            </w:r>
            <w:r>
              <w:rPr>
                <w:rFonts w:hint="eastAsia" w:ascii="仿宋_GB2312" w:hAnsi="仿宋_GB2312" w:eastAsia="仿宋_GB2312" w:cs="仿宋_GB2312"/>
                <w:sz w:val="22"/>
                <w:szCs w:val="22"/>
                <w:lang w:eastAsia="zh-CN"/>
              </w:rPr>
              <w:t>（3门）</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金税三期监管下的企业生死时速</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单建荣</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当今国内34所税务院校最具影响力教授之一，我国税收风险识别通用指标模型的开拓者与创始人，国家税务总局千户集团税收风险过滤器创建组核心成员</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企业财务法律风险与合同管理</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袁振鲁</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企业治理与风控团队负责人，企业法律风险管理防控讲师</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管理会计领导力</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eastAsia="zh-CN"/>
              </w:rPr>
              <w:t>白俊江</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美国管理会计师协会（IMA）亚太区总监、中国区首席代表</w:t>
            </w:r>
          </w:p>
        </w:tc>
      </w:tr>
      <w:tr>
        <w:tblPrEx>
          <w:tblCellMar>
            <w:top w:w="0" w:type="dxa"/>
            <w:left w:w="0" w:type="dxa"/>
            <w:bottom w:w="0" w:type="dxa"/>
            <w:right w:w="0" w:type="dxa"/>
          </w:tblCellMar>
        </w:tblPrEx>
        <w:trPr>
          <w:trHeight w:val="313"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产品研发</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（5门）</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 模块十：</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研发与生产</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一线班组长必备的管理素质</w:t>
            </w:r>
          </w:p>
        </w:tc>
        <w:tc>
          <w:tcPr>
            <w:tcW w:w="5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eastAsia="zh-CN"/>
              </w:rPr>
              <w:t>杨庆德</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班组长训导师，实战型生产管理培训师，高绩效团队管理培训专家</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数字化精益生产管理与现场管理</w:t>
            </w:r>
          </w:p>
        </w:tc>
        <w:tc>
          <w:tcPr>
            <w:tcW w:w="54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eastAsia="zh-CN"/>
              </w:rPr>
              <w:t>刘立户“生产与质量管理”专家，FTF培训体系创始人，中国知名咨询/培训师名录中，“生产与质量管理”类别第二位排名</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精益生产制造管理基础</w:t>
            </w:r>
          </w:p>
        </w:tc>
        <w:tc>
          <w:tcPr>
            <w:tcW w:w="54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管理者必修的20堂采购课</w:t>
            </w:r>
          </w:p>
        </w:tc>
        <w:tc>
          <w:tcPr>
            <w:tcW w:w="5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姜宏锋中国著名供应链管理实战专家，中国物流与采购联合会采购与供应链专家委员会委员，畅销书《决胜供应链》《采购4.0》作者</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企业研发管理体系构建</w:t>
            </w:r>
          </w:p>
        </w:tc>
        <w:tc>
          <w:tcPr>
            <w:tcW w:w="5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微软雅黑" w:hAnsi="微软雅黑" w:eastAsia="微软雅黑" w:cs="宋体"/>
                <w:color w:val="000000"/>
                <w:sz w:val="22"/>
                <w:szCs w:val="22"/>
                <w:lang w:val="en-US" w:eastAsia="en-US" w:bidi="ar-SA"/>
              </w:rPr>
            </w:pPr>
            <w:r>
              <w:rPr>
                <w:rFonts w:hint="eastAsia" w:ascii="仿宋_GB2312" w:hAnsi="仿宋_GB2312" w:eastAsia="仿宋_GB2312" w:cs="仿宋_GB2312"/>
                <w:sz w:val="22"/>
                <w:szCs w:val="22"/>
                <w:lang w:eastAsia="zh-CN"/>
              </w:rPr>
              <w:t>陈和兰</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社科院经济管理博士，PMP、NPDP，《项目管理技术》、《项目管理评论》杂志编委</w:t>
            </w:r>
          </w:p>
        </w:tc>
      </w:tr>
      <w:tr>
        <w:tblPrEx>
          <w:tblCellMar>
            <w:top w:w="0" w:type="dxa"/>
            <w:left w:w="0" w:type="dxa"/>
            <w:bottom w:w="0" w:type="dxa"/>
            <w:right w:w="0" w:type="dxa"/>
          </w:tblCellMar>
        </w:tblPrEx>
        <w:trPr>
          <w:trHeight w:val="313"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创新</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（5门）</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 xml:space="preserve"> 模块十一：</w:t>
            </w:r>
          </w:p>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创新变革</w:t>
            </w:r>
            <w:r>
              <w:rPr>
                <w:rFonts w:hint="eastAsia" w:ascii="仿宋_GB2312" w:hAnsi="仿宋_GB2312" w:eastAsia="仿宋_GB2312" w:cs="仿宋_GB2312"/>
                <w:sz w:val="22"/>
                <w:szCs w:val="22"/>
                <w:lang w:eastAsia="zh-CN"/>
              </w:rPr>
              <w:br w:type="textWrapping"/>
            </w:r>
            <w:r>
              <w:rPr>
                <w:rFonts w:hint="eastAsia" w:ascii="仿宋_GB2312" w:hAnsi="仿宋_GB2312" w:eastAsia="仿宋_GB2312" w:cs="仿宋_GB2312"/>
                <w:sz w:val="22"/>
                <w:szCs w:val="22"/>
                <w:lang w:eastAsia="zh-CN"/>
              </w:rPr>
              <w:t>（5门）</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企业如何应用AI技术</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陈萍生原美国系统公司董事长兼总经理，美国国家科学基金会(NSF)科技专案评审委员</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数据驱动的企业转型与商业创新</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赵德旭</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中国千人计划专家、中国最具价值CIO，惠生集团副总裁，主持多家上市企业数字化转型工作</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5G时代下的机会与挑战</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曾玉波</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工业4.0智能制造实践专家，原华为技术有限公司总体技术经理，施耐德电气亚太工业化和工业战略总监</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物量经济：引领物联网产业发展方向</w:t>
            </w:r>
          </w:p>
        </w:tc>
        <w:tc>
          <w:tcPr>
            <w:tcW w:w="5429" w:type="dxa"/>
            <w:tcBorders>
              <w:top w:val="single" w:color="2B2B2B" w:sz="4" w:space="0"/>
              <w:left w:val="nil"/>
              <w:bottom w:val="single" w:color="2B2B2B" w:sz="4" w:space="0"/>
              <w:right w:val="single" w:color="2B2B2B"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王正伟</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全球物联网大会席</w:t>
            </w:r>
            <w:r>
              <w:rPr>
                <w:rFonts w:hint="eastAsia" w:ascii="仿宋_GB2312" w:hAnsi="仿宋_GB2312" w:eastAsia="仿宋_GB2312" w:cs="仿宋_GB2312"/>
                <w:sz w:val="22"/>
                <w:szCs w:val="22"/>
                <w:lang w:val="en-US" w:eastAsia="zh-CN"/>
              </w:rPr>
              <w:t xml:space="preserve"> 、</w:t>
            </w:r>
            <w:r>
              <w:rPr>
                <w:rFonts w:hint="eastAsia" w:ascii="仿宋_GB2312" w:hAnsi="仿宋_GB2312" w:eastAsia="仿宋_GB2312" w:cs="仿宋_GB2312"/>
                <w:sz w:val="22"/>
                <w:szCs w:val="22"/>
                <w:lang w:eastAsia="zh-CN"/>
              </w:rPr>
              <w:t>中关村物联网产业联盟秘书长</w:t>
            </w:r>
          </w:p>
        </w:tc>
      </w:tr>
      <w:tr>
        <w:tblPrEx>
          <w:tblCellMar>
            <w:top w:w="0" w:type="dxa"/>
            <w:left w:w="0" w:type="dxa"/>
            <w:bottom w:w="0" w:type="dxa"/>
            <w:right w:w="0" w:type="dxa"/>
          </w:tblCellMar>
        </w:tblPrEx>
        <w:trPr>
          <w:trHeight w:val="31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2"/>
                <w:szCs w:val="22"/>
              </w:rPr>
            </w:pP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 xml:space="preserve"> 大国崛起：金灿荣讲中国未来20年机遇</w:t>
            </w:r>
          </w:p>
        </w:tc>
        <w:tc>
          <w:tcPr>
            <w:tcW w:w="54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sz w:val="22"/>
                <w:szCs w:val="22"/>
                <w:lang w:val="en-US" w:eastAsia="en-US"/>
              </w:rPr>
            </w:pPr>
            <w:r>
              <w:rPr>
                <w:rFonts w:hint="eastAsia" w:ascii="仿宋_GB2312" w:hAnsi="仿宋_GB2312" w:eastAsia="仿宋_GB2312" w:cs="仿宋_GB2312"/>
                <w:sz w:val="22"/>
                <w:szCs w:val="22"/>
                <w:lang w:eastAsia="zh-CN"/>
              </w:rPr>
              <w:t xml:space="preserve"> 金灿荣长江学者，国际关系专家，中国人民大学国际关系学院副院长</w:t>
            </w:r>
          </w:p>
        </w:tc>
      </w:tr>
    </w:tbl>
    <w:p>
      <w:pPr>
        <w:spacing w:line="500" w:lineRule="exact"/>
        <w:contextualSpacing/>
        <w:rPr>
          <w:rFonts w:ascii="黑体" w:hAnsi="黑体" w:eastAsia="黑体" w:cs="黑体"/>
          <w:sz w:val="22"/>
          <w:szCs w:val="22"/>
        </w:rPr>
      </w:pPr>
    </w:p>
    <w:p>
      <w:pPr>
        <w:spacing w:line="500" w:lineRule="exact"/>
        <w:contextualSpacing/>
        <w:rPr>
          <w:rFonts w:ascii="黑体" w:hAnsi="黑体" w:eastAsia="黑体" w:cs="黑体"/>
          <w:sz w:val="32"/>
          <w:szCs w:val="32"/>
        </w:rPr>
      </w:pPr>
    </w:p>
    <w:p>
      <w:pPr>
        <w:spacing w:line="500" w:lineRule="exact"/>
        <w:contextualSpacing/>
        <w:rPr>
          <w:rFonts w:ascii="黑体" w:hAnsi="黑体" w:eastAsia="黑体" w:cs="黑体"/>
          <w:sz w:val="32"/>
          <w:szCs w:val="32"/>
        </w:rPr>
      </w:pPr>
    </w:p>
    <w:p>
      <w:pPr>
        <w:spacing w:line="500" w:lineRule="exact"/>
        <w:contextualSpacing/>
        <w:rPr>
          <w:rFonts w:ascii="黑体" w:hAnsi="黑体" w:eastAsia="黑体" w:cs="黑体"/>
          <w:sz w:val="32"/>
          <w:szCs w:val="32"/>
        </w:rPr>
      </w:pPr>
    </w:p>
    <w:p>
      <w:pPr>
        <w:spacing w:line="500" w:lineRule="exact"/>
        <w:contextualSpacing/>
        <w:rPr>
          <w:rFonts w:ascii="黑体" w:hAnsi="黑体" w:eastAsia="黑体" w:cs="黑体"/>
          <w:sz w:val="32"/>
          <w:szCs w:val="32"/>
        </w:rPr>
      </w:pPr>
    </w:p>
    <w:p>
      <w:pPr>
        <w:spacing w:line="500" w:lineRule="exact"/>
        <w:contextualSpacing/>
        <w:rPr>
          <w:rFonts w:ascii="黑体" w:hAnsi="黑体" w:eastAsia="黑体" w:cs="黑体"/>
          <w:sz w:val="32"/>
          <w:szCs w:val="32"/>
        </w:rPr>
      </w:pPr>
    </w:p>
    <w:p>
      <w:pPr>
        <w:spacing w:line="500" w:lineRule="exact"/>
        <w:contextualSpacing/>
        <w:rPr>
          <w:rFonts w:ascii="黑体" w:hAnsi="黑体" w:eastAsia="黑体" w:cs="黑体"/>
          <w:sz w:val="32"/>
          <w:szCs w:val="32"/>
        </w:rPr>
      </w:pPr>
    </w:p>
    <w:p>
      <w:pPr>
        <w:rPr>
          <w:rFonts w:ascii="仿宋_GB2312" w:eastAsia="仿宋_GB2312"/>
          <w:sz w:val="30"/>
          <w:szCs w:val="30"/>
          <w:lang w:eastAsia="zh-CN"/>
        </w:rPr>
      </w:pPr>
    </w:p>
    <w:p>
      <w:pPr>
        <w:rPr>
          <w:rFonts w:ascii="黑体" w:hAnsi="黑体" w:eastAsia="黑体" w:cs="黑体"/>
          <w:sz w:val="32"/>
          <w:szCs w:val="32"/>
          <w:lang w:eastAsia="zh-CN"/>
        </w:rPr>
      </w:pPr>
      <w:r>
        <w:rPr>
          <w:rFonts w:hint="eastAsia" w:ascii="黑体" w:hAnsi="黑体" w:eastAsia="黑体" w:cs="黑体"/>
          <w:sz w:val="32"/>
          <w:szCs w:val="32"/>
          <w:lang w:eastAsia="zh-CN"/>
        </w:rPr>
        <w:br w:type="page"/>
      </w:r>
    </w:p>
    <w:p>
      <w:pPr>
        <w:ind w:right="420"/>
        <w:rPr>
          <w:rFonts w:ascii="黑体" w:hAnsi="黑体" w:eastAsia="黑体" w:cs="黑体"/>
          <w:sz w:val="32"/>
          <w:szCs w:val="32"/>
          <w:lang w:eastAsia="zh-CN"/>
        </w:rPr>
      </w:pPr>
      <w:r>
        <w:rPr>
          <w:rFonts w:hint="eastAsia" w:ascii="黑体" w:hAnsi="黑体" w:eastAsia="黑体" w:cs="黑体"/>
          <w:sz w:val="32"/>
          <w:szCs w:val="32"/>
          <w:lang w:eastAsia="zh-CN"/>
        </w:rPr>
        <w:t>附件3：</w:t>
      </w:r>
      <w:bookmarkStart w:id="0" w:name="_Toc22980"/>
    </w:p>
    <w:p>
      <w:pPr>
        <w:ind w:right="420"/>
        <w:jc w:val="center"/>
        <w:rPr>
          <w:rFonts w:ascii="黑体" w:hAnsi="黑体" w:eastAsia="黑体" w:cs="黑体"/>
          <w:sz w:val="32"/>
          <w:szCs w:val="32"/>
          <w:lang w:eastAsia="zh-CN"/>
        </w:rPr>
      </w:pPr>
      <w:r>
        <w:rPr>
          <w:rFonts w:hint="eastAsia" w:ascii="黑体" w:hAnsi="黑体" w:eastAsia="黑体" w:cs="黑体"/>
          <w:sz w:val="32"/>
          <w:szCs w:val="32"/>
          <w:lang w:eastAsia="zh-CN"/>
        </w:rPr>
        <w:t>量子大学简介</w:t>
      </w:r>
    </w:p>
    <w:p>
      <w:pPr>
        <w:numPr>
          <w:ilvl w:val="0"/>
          <w:numId w:val="1"/>
        </w:numPr>
        <w:autoSpaceDE/>
        <w:autoSpaceDN/>
        <w:ind w:right="420"/>
        <w:rPr>
          <w:rFonts w:ascii="黑体" w:hAnsi="黑体" w:eastAsia="黑体" w:cs="黑体"/>
          <w:sz w:val="32"/>
          <w:szCs w:val="32"/>
        </w:rPr>
      </w:pPr>
      <w:r>
        <w:rPr>
          <w:rFonts w:hint="eastAsia" w:ascii="黑体" w:hAnsi="黑体" w:eastAsia="黑体" w:cs="黑体"/>
          <w:sz w:val="32"/>
          <w:szCs w:val="32"/>
          <w:lang w:eastAsia="zh-CN"/>
        </w:rPr>
        <w:t>量子大学简介</w:t>
      </w:r>
    </w:p>
    <w:p>
      <w:pPr>
        <w:ind w:right="420"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量子大学（量子教育）于2016年8月在杭州成立，前身为浙江大学继续教育经济管理中心，致力于“教育+互联网”的创新实践，致力于成为数字化时代中国企业转型升级智库和企业一体化人才培养的领导者，核心管理团队来自华为、阿里和浙大。2018年11月获软银赛富基金千万级别投资。目前，量子大学在全国拥有200余家地方分院和5家海外分院，拥有1000余名智库专家、10000余名实战师资，为国家工信部人才交流中心2017-2018年度、2018-2019年度企业经营管理骨干人才培训项目指定承办单位。</w:t>
      </w:r>
    </w:p>
    <w:p>
      <w:pPr>
        <w:ind w:right="42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量见·云大学是集合量子大学智库、BAT互联网技术团队研发的</w:t>
      </w:r>
    </w:p>
    <w:p>
      <w:pPr>
        <w:ind w:right="42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一款线上企业大学产品，包含平台、内容和服务三部分，支持企业和组织根据人才培养需求针对性派课学习，支持学员以个人发展为导向的自主选课学习，支持企业和组织上传内部课程，</w:t>
      </w:r>
    </w:p>
    <w:p>
      <w:pPr>
        <w:ind w:right="42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沉淀并形成自有知识库，实现内部共享。</w:t>
      </w:r>
    </w:p>
    <w:p>
      <w:pPr>
        <w:ind w:right="420"/>
        <w:rPr>
          <w:rFonts w:ascii="黑体" w:hAnsi="黑体" w:eastAsia="黑体" w:cs="黑体"/>
          <w:sz w:val="32"/>
          <w:szCs w:val="32"/>
          <w:lang w:eastAsia="zh-CN"/>
        </w:rPr>
      </w:pPr>
      <w:r>
        <w:rPr>
          <w:rFonts w:hint="eastAsia" w:ascii="黑体" w:hAnsi="黑体" w:eastAsia="黑体" w:cs="黑体"/>
          <w:sz w:val="32"/>
          <w:szCs w:val="32"/>
          <w:lang w:eastAsia="zh-CN"/>
        </w:rPr>
        <w:t>二、量见·云大学优势</w:t>
      </w:r>
      <w:bookmarkEnd w:id="0"/>
    </w:p>
    <w:p>
      <w:pPr>
        <w:widowControl/>
        <w:textAlignment w:val="center"/>
        <w:rPr>
          <w:rFonts w:ascii="仿宋_GB2312" w:hAnsi="仿宋_GB2312" w:eastAsia="仿宋_GB2312" w:cs="仿宋_GB2312"/>
          <w:b/>
          <w:sz w:val="32"/>
          <w:szCs w:val="32"/>
          <w:lang w:eastAsia="zh-CN"/>
        </w:rPr>
      </w:pPr>
      <w:bookmarkStart w:id="1" w:name="_Toc30183"/>
      <w:r>
        <w:rPr>
          <w:rFonts w:hint="eastAsia" w:ascii="仿宋_GB2312" w:hAnsi="仿宋_GB2312" w:eastAsia="仿宋_GB2312" w:cs="仿宋_GB2312"/>
          <w:b/>
          <w:sz w:val="32"/>
          <w:szCs w:val="32"/>
          <w:lang w:eastAsia="zh-CN"/>
        </w:rPr>
        <w:t>（一）体系化课程研发，权威实战师资</w:t>
      </w:r>
      <w:bookmarkEnd w:id="1"/>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z w:val="32"/>
          <w:szCs w:val="32"/>
          <w:lang w:eastAsia="zh-CN"/>
        </w:rPr>
        <w:t>整合全球商学院、知名企业</w:t>
      </w:r>
      <w:r>
        <w:rPr>
          <w:rFonts w:hint="eastAsia" w:ascii="仿宋_GB2312" w:hAnsi="仿宋_GB2312" w:eastAsia="仿宋_GB2312" w:cs="仿宋_GB2312"/>
          <w:sz w:val="32"/>
          <w:szCs w:val="32"/>
          <w:lang w:eastAsia="zh-CN"/>
        </w:rPr>
        <w:t>管理者、研究机构等优质资源,并以强大的研发能力，制作高质精良的移动管理课程，协助企业打造系统化、规模化和有效的领导力提升学习解决方案。以量子智库为核心驱动力，聚焦数字化时代企业变革，融合全球商学教育、技术研究和商业实践，严格按照美国在线教育质量保障机构QM标准进行内容生产，以及严选优质内容。精选46门课程，平均每门课程时长2小时12分钟，足以满足1-3个月线上培训内容需求。</w:t>
      </w:r>
    </w:p>
    <w:p>
      <w:pPr>
        <w:widowControl/>
        <w:textAlignment w:val="center"/>
        <w:rPr>
          <w:rFonts w:ascii="仿宋_GB2312" w:hAnsi="仿宋_GB2312" w:eastAsia="仿宋_GB2312" w:cs="仿宋_GB2312"/>
          <w:bCs/>
          <w:sz w:val="32"/>
          <w:szCs w:val="32"/>
          <w:lang w:eastAsia="zh-CN"/>
        </w:rPr>
      </w:pPr>
      <w:bookmarkStart w:id="2" w:name="_Toc3512"/>
      <w:r>
        <w:rPr>
          <w:rFonts w:hint="eastAsia" w:ascii="仿宋_GB2312" w:hAnsi="仿宋_GB2312" w:eastAsia="仿宋_GB2312" w:cs="仿宋_GB2312"/>
          <w:b/>
          <w:sz w:val="32"/>
          <w:szCs w:val="32"/>
          <w:lang w:eastAsia="zh-CN"/>
        </w:rPr>
        <w:t>（二）数字化培训管理，简单高效便捷</w:t>
      </w:r>
      <w:bookmarkEnd w:id="2"/>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z w:val="32"/>
          <w:szCs w:val="32"/>
          <w:lang w:eastAsia="zh-CN"/>
        </w:rPr>
        <w:t>在线学习平台：APP端、微信端、PC端。满足企业学习多场景需求。学员突破学习时空限制，打通多种电子设备的学习，即开即用。企业云大学云端管理所有学习数据，企业可实时掌握员工学习表现和情况，学习培训成果数据化呈现一目了然。非常贴合疫情期间员工分散场景的学习需求，实现企业在疫情期间的便捷管理。</w:t>
      </w:r>
    </w:p>
    <w:p>
      <w:pPr>
        <w:widowControl/>
        <w:textAlignment w:val="center"/>
        <w:rPr>
          <w:rFonts w:ascii="仿宋_GB2312" w:hAnsi="仿宋_GB2312" w:eastAsia="仿宋_GB2312" w:cs="仿宋_GB2312"/>
          <w:b/>
          <w:sz w:val="32"/>
          <w:szCs w:val="32"/>
          <w:lang w:eastAsia="zh-CN"/>
        </w:rPr>
      </w:pPr>
      <w:bookmarkStart w:id="3" w:name="_Toc965"/>
      <w:r>
        <w:rPr>
          <w:rFonts w:hint="eastAsia" w:ascii="仿宋_GB2312" w:hAnsi="仿宋_GB2312" w:eastAsia="仿宋_GB2312" w:cs="仿宋_GB2312"/>
          <w:b/>
          <w:sz w:val="32"/>
          <w:szCs w:val="32"/>
          <w:lang w:eastAsia="zh-CN"/>
        </w:rPr>
        <w:t>（三）线上管家式服务，助力企业落地</w:t>
      </w:r>
      <w:bookmarkEnd w:id="3"/>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Cs/>
          <w:sz w:val="32"/>
          <w:szCs w:val="32"/>
          <w:lang w:eastAsia="zh-CN"/>
        </w:rPr>
        <w:t>提供</w:t>
      </w:r>
      <w:r>
        <w:rPr>
          <w:rFonts w:hint="eastAsia" w:ascii="仿宋_GB2312" w:hAnsi="仿宋_GB2312" w:eastAsia="仿宋_GB2312" w:cs="仿宋_GB2312"/>
          <w:sz w:val="32"/>
          <w:szCs w:val="32"/>
          <w:lang w:eastAsia="zh-CN"/>
        </w:rPr>
        <w:t>管家式服务，为云大学客户落地线上培训。提供从开户指导、使用说明、使用疑问等多环节的在线解答。疫情期间，很多企业是首次部署线上培训项目，需要有专人指导和介绍产品使用、线上培训运营方法等。真正保证线上培训从立项到落地，为企业人才发展切实提供助力。</w:t>
      </w:r>
    </w:p>
    <w:p>
      <w:pPr>
        <w:ind w:firstLine="600"/>
        <w:rPr>
          <w:rFonts w:ascii="仿宋_GB2312" w:eastAsia="仿宋_GB2312"/>
          <w:sz w:val="30"/>
          <w:szCs w:val="30"/>
          <w:lang w:eastAsia="zh-CN"/>
        </w:rPr>
      </w:pPr>
    </w:p>
    <w:p>
      <w:pPr>
        <w:pStyle w:val="2"/>
        <w:ind w:left="0" w:leftChars="0" w:firstLine="0" w:firstLineChars="0"/>
        <w:rPr>
          <w:rFonts w:ascii="仿宋_GB2312" w:eastAsia="仿宋_GB2312"/>
          <w:sz w:val="30"/>
          <w:szCs w:val="30"/>
          <w:lang w:eastAsia="zh-CN"/>
        </w:rPr>
      </w:pPr>
    </w:p>
    <w:tbl>
      <w:tblPr>
        <w:tblStyle w:val="8"/>
        <w:tblpPr w:leftFromText="180" w:rightFromText="180" w:vertAnchor="text" w:horzAnchor="page" w:tblpX="1740" w:tblpY="18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980" w:type="dxa"/>
            <w:tcBorders>
              <w:left w:val="nil"/>
              <w:right w:val="nil"/>
            </w:tcBorders>
            <w:noWrap w:val="0"/>
            <w:vAlign w:val="top"/>
          </w:tcPr>
          <w:p>
            <w:pPr>
              <w:spacing w:line="579" w:lineRule="exact"/>
              <w:rPr>
                <w:rFonts w:hint="eastAsia"/>
                <w:sz w:val="28"/>
              </w:rPr>
            </w:pPr>
            <w:r>
              <w:rPr>
                <w:rFonts w:hint="eastAsia"/>
                <w:sz w:val="28"/>
              </w:rPr>
              <w:t>雅安市</w:t>
            </w:r>
            <w:r>
              <w:rPr>
                <w:rFonts w:hint="eastAsia"/>
                <w:sz w:val="28"/>
                <w:lang w:val="en-US" w:eastAsia="zh-CN"/>
              </w:rPr>
              <w:t>中小企业服务中心</w:t>
            </w:r>
            <w:r>
              <w:rPr>
                <w:rFonts w:hint="eastAsia" w:ascii="仿宋_GB2312"/>
                <w:sz w:val="28"/>
              </w:rPr>
              <w:t xml:space="preserve">        </w:t>
            </w:r>
            <w:r>
              <w:rPr>
                <w:rFonts w:hint="eastAsia" w:ascii="仿宋_GB2312"/>
                <w:sz w:val="28"/>
                <w:lang w:val="en-US" w:eastAsia="zh-CN"/>
              </w:rPr>
              <w:t xml:space="preserve">         </w:t>
            </w:r>
            <w:r>
              <w:rPr>
                <w:rFonts w:hint="eastAsia" w:ascii="仿宋_GB2312"/>
                <w:sz w:val="28"/>
              </w:rPr>
              <w:t xml:space="preserve">  </w:t>
            </w:r>
            <w:r>
              <w:rPr>
                <w:rFonts w:hint="eastAsia" w:ascii="仿宋_GB2312"/>
                <w:sz w:val="28"/>
                <w:lang w:val="en-US" w:eastAsia="zh-CN"/>
              </w:rPr>
              <w:t xml:space="preserve">   </w:t>
            </w:r>
            <w:r>
              <w:rPr>
                <w:rFonts w:hint="eastAsia" w:ascii="仿宋_GB2312"/>
                <w:sz w:val="28"/>
              </w:rPr>
              <w:t>20</w:t>
            </w:r>
            <w:r>
              <w:rPr>
                <w:rFonts w:hint="eastAsia" w:ascii="仿宋_GB2312"/>
                <w:sz w:val="28"/>
                <w:lang w:val="en-US" w:eastAsia="zh-CN"/>
              </w:rPr>
              <w:t>20</w:t>
            </w:r>
            <w:r>
              <w:rPr>
                <w:rFonts w:hint="eastAsia" w:ascii="仿宋_GB2312"/>
                <w:sz w:val="28"/>
              </w:rPr>
              <w:t>年</w:t>
            </w:r>
            <w:r>
              <w:rPr>
                <w:rFonts w:hint="eastAsia" w:ascii="仿宋_GB2312"/>
                <w:sz w:val="28"/>
                <w:lang w:val="en-US" w:eastAsia="zh-CN"/>
              </w:rPr>
              <w:t>3</w:t>
            </w:r>
            <w:r>
              <w:rPr>
                <w:rFonts w:hint="eastAsia" w:ascii="仿宋_GB2312"/>
                <w:sz w:val="28"/>
              </w:rPr>
              <w:t>月</w:t>
            </w:r>
            <w:r>
              <w:rPr>
                <w:rFonts w:hint="eastAsia" w:ascii="仿宋_GB2312"/>
                <w:sz w:val="28"/>
                <w:lang w:val="en-US" w:eastAsia="zh-CN"/>
              </w:rPr>
              <w:t>17</w:t>
            </w:r>
            <w:r>
              <w:rPr>
                <w:rFonts w:hint="eastAsia" w:ascii="仿宋_GB2312"/>
                <w:sz w:val="28"/>
              </w:rPr>
              <w:t>日印</w:t>
            </w:r>
            <w:r>
              <w:rPr>
                <w:rFonts w:hint="eastAsia" w:ascii="仿宋_GB2312"/>
                <w:sz w:val="28"/>
                <w:lang w:val="en-US" w:eastAsia="zh-CN"/>
              </w:rPr>
              <w:t>发</w:t>
            </w:r>
          </w:p>
        </w:tc>
      </w:tr>
    </w:tbl>
    <w:p>
      <w:pPr>
        <w:pStyle w:val="2"/>
        <w:ind w:left="0" w:leftChars="0" w:firstLine="0" w:firstLineChars="0"/>
        <w:rPr>
          <w:rFonts w:ascii="仿宋_GB2312" w:eastAsia="仿宋_GB2312"/>
          <w:sz w:val="30"/>
          <w:szCs w:val="30"/>
          <w:lang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A4B631"/>
    <w:multiLevelType w:val="singleLevel"/>
    <w:tmpl w:val="DDA4B6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B3F"/>
    <w:rsid w:val="00032E81"/>
    <w:rsid w:val="00164843"/>
    <w:rsid w:val="001B42ED"/>
    <w:rsid w:val="00265395"/>
    <w:rsid w:val="00273365"/>
    <w:rsid w:val="002B4F7A"/>
    <w:rsid w:val="002B5E6D"/>
    <w:rsid w:val="004A2E5B"/>
    <w:rsid w:val="00521F42"/>
    <w:rsid w:val="00573AF1"/>
    <w:rsid w:val="0058284F"/>
    <w:rsid w:val="0074310D"/>
    <w:rsid w:val="00762D2C"/>
    <w:rsid w:val="007F48DA"/>
    <w:rsid w:val="00822686"/>
    <w:rsid w:val="00861401"/>
    <w:rsid w:val="008A18D1"/>
    <w:rsid w:val="008C2243"/>
    <w:rsid w:val="008D50F5"/>
    <w:rsid w:val="008E5E6D"/>
    <w:rsid w:val="00920D8D"/>
    <w:rsid w:val="009250D8"/>
    <w:rsid w:val="009B6515"/>
    <w:rsid w:val="00AD1F90"/>
    <w:rsid w:val="00B44281"/>
    <w:rsid w:val="00B555B4"/>
    <w:rsid w:val="00B85ED3"/>
    <w:rsid w:val="00C73AC1"/>
    <w:rsid w:val="00CC558B"/>
    <w:rsid w:val="00D555D6"/>
    <w:rsid w:val="00D67E1F"/>
    <w:rsid w:val="00E317A9"/>
    <w:rsid w:val="00E43746"/>
    <w:rsid w:val="00E750F1"/>
    <w:rsid w:val="00EA617C"/>
    <w:rsid w:val="00FB68B9"/>
    <w:rsid w:val="0138281E"/>
    <w:rsid w:val="024A5ACE"/>
    <w:rsid w:val="02A71DCA"/>
    <w:rsid w:val="033F745A"/>
    <w:rsid w:val="047358AC"/>
    <w:rsid w:val="06BC6F28"/>
    <w:rsid w:val="08FD4454"/>
    <w:rsid w:val="0FFF3931"/>
    <w:rsid w:val="1746655A"/>
    <w:rsid w:val="1ABF7C41"/>
    <w:rsid w:val="1B5D5F88"/>
    <w:rsid w:val="1D1D0C49"/>
    <w:rsid w:val="28926BAE"/>
    <w:rsid w:val="29444DC7"/>
    <w:rsid w:val="2A167CCC"/>
    <w:rsid w:val="2FAA2556"/>
    <w:rsid w:val="31296915"/>
    <w:rsid w:val="3160220B"/>
    <w:rsid w:val="39741635"/>
    <w:rsid w:val="3C5134B5"/>
    <w:rsid w:val="3E2C2D6C"/>
    <w:rsid w:val="48591047"/>
    <w:rsid w:val="49B36DDB"/>
    <w:rsid w:val="54167BE6"/>
    <w:rsid w:val="560171B4"/>
    <w:rsid w:val="56CB275A"/>
    <w:rsid w:val="5B74506C"/>
    <w:rsid w:val="61681F82"/>
    <w:rsid w:val="62B1397A"/>
    <w:rsid w:val="65CF700A"/>
    <w:rsid w:val="67BC414A"/>
    <w:rsid w:val="6ABF015F"/>
    <w:rsid w:val="6C417C8A"/>
    <w:rsid w:val="7434166A"/>
    <w:rsid w:val="76027A5E"/>
    <w:rsid w:val="7D656811"/>
    <w:rsid w:val="7DAF4764"/>
    <w:rsid w:val="7FD802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kern w:val="0"/>
      <w:sz w:val="20"/>
      <w:szCs w:val="20"/>
    </w:rPr>
  </w:style>
  <w:style w:type="paragraph" w:styleId="4">
    <w:name w:val="Body Text"/>
    <w:basedOn w:val="1"/>
    <w:link w:val="12"/>
    <w:qFormat/>
    <w:uiPriority w:val="1"/>
    <w:rPr>
      <w:sz w:val="31"/>
      <w:szCs w:val="31"/>
    </w:rPr>
  </w:style>
  <w:style w:type="paragraph" w:styleId="5">
    <w:name w:val="Balloon Text"/>
    <w:basedOn w:val="1"/>
    <w:link w:val="15"/>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正文文本 Char"/>
    <w:basedOn w:val="10"/>
    <w:link w:val="4"/>
    <w:qFormat/>
    <w:uiPriority w:val="1"/>
    <w:rPr>
      <w:rFonts w:ascii="宋体" w:hAnsi="宋体" w:eastAsia="宋体" w:cs="宋体"/>
      <w:kern w:val="0"/>
      <w:sz w:val="31"/>
      <w:szCs w:val="31"/>
      <w:lang w:eastAsia="en-US"/>
    </w:rPr>
  </w:style>
  <w:style w:type="paragraph" w:customStyle="1" w:styleId="13">
    <w:name w:val="列出段落1"/>
    <w:basedOn w:val="1"/>
    <w:qFormat/>
    <w:uiPriority w:val="1"/>
    <w:pPr>
      <w:spacing w:before="160"/>
      <w:ind w:left="1202" w:hanging="421"/>
    </w:pPr>
  </w:style>
  <w:style w:type="character" w:customStyle="1" w:styleId="14">
    <w:name w:val="Unresolved Mention"/>
    <w:basedOn w:val="10"/>
    <w:unhideWhenUsed/>
    <w:qFormat/>
    <w:uiPriority w:val="99"/>
    <w:rPr>
      <w:color w:val="605E5C"/>
      <w:shd w:val="clear" w:color="auto" w:fill="E1DFDD"/>
    </w:rPr>
  </w:style>
  <w:style w:type="character" w:customStyle="1" w:styleId="15">
    <w:name w:val="批注框文本 Char"/>
    <w:basedOn w:val="10"/>
    <w:link w:val="5"/>
    <w:semiHidden/>
    <w:qFormat/>
    <w:uiPriority w:val="99"/>
    <w:rPr>
      <w:rFonts w:ascii="宋体" w:hAnsi="宋体" w:cs="宋体"/>
      <w:sz w:val="18"/>
      <w:szCs w:val="18"/>
      <w:lang w:eastAsia="en-US"/>
    </w:rPr>
  </w:style>
  <w:style w:type="character" w:customStyle="1" w:styleId="16">
    <w:name w:val="页眉 Char"/>
    <w:basedOn w:val="10"/>
    <w:link w:val="7"/>
    <w:semiHidden/>
    <w:qFormat/>
    <w:uiPriority w:val="99"/>
    <w:rPr>
      <w:rFonts w:ascii="宋体" w:hAnsi="宋体" w:cs="宋体"/>
      <w:sz w:val="18"/>
      <w:szCs w:val="18"/>
      <w:lang w:eastAsia="en-US"/>
    </w:rPr>
  </w:style>
  <w:style w:type="character" w:customStyle="1" w:styleId="17">
    <w:name w:val="页脚 Char"/>
    <w:basedOn w:val="10"/>
    <w:link w:val="6"/>
    <w:semiHidden/>
    <w:qFormat/>
    <w:uiPriority w:val="99"/>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447</Words>
  <Characters>2551</Characters>
  <Lines>21</Lines>
  <Paragraphs>5</Paragraphs>
  <TotalTime>3</TotalTime>
  <ScaleCrop>false</ScaleCrop>
  <LinksUpToDate>false</LinksUpToDate>
  <CharactersWithSpaces>2993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2020-03-11T11:01:00Z</dcterms:created>
  <dc:creator>Office365</dc:creator>
  <cp:lastModifiedBy>An1425518574</cp:lastModifiedBy>
  <dcterms:modified xsi:type="dcterms:W3CDTF">2020-03-17T09:27:48Z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