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</w:t>
      </w:r>
      <w:r>
        <w:rPr>
          <w:rFonts w:hint="eastAsia" w:ascii="黑体" w:hAnsi="黑体" w:eastAsia="黑体" w:cs="黑体"/>
          <w:sz w:val="32"/>
          <w:szCs w:val="32"/>
        </w:rPr>
        <w:t>“税务助企市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行”活动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安排表</w:t>
      </w:r>
    </w:p>
    <w:bookmarkEnd w:id="0"/>
    <w:tbl>
      <w:tblPr>
        <w:tblStyle w:val="3"/>
        <w:tblW w:w="10881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7980"/>
        <w:gridCol w:w="1526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时 间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2020年“助力脱贫攻坚 税务助企凉山行”专场活动暨“税务助企市（州）行”启动仪式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6月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西昌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2020年“税务助企市（州）行”巴中市专场活动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9月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2020年“税务助企市（州）行”泸州市专场活动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9月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2020年“税务助企市（州）行”资阳市专场活动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10月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2020年“税务助企市（州）行”雅安市专场活动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12月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雅安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2020年“税务助企市（州）行”遂宁市专场活动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12月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遂宁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税务助企宣讲日《第一期 新冠疫情税收优惠与纳税规划》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税务助企宣讲日《第二期 高新技术企业认定与风险评估》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《第三期 大数据时代企业如何托管财税》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8月16日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《第四期 个人所得税汇算清缴实务及税收筹划》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《第五期 破解大数据时代下的融资难题》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《第六期 企业税务风险防控及科学应对》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税务助企宣讲日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《第七期 企业涉税风险误区及减税降费解读》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12月16日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“财税专家在线问诊”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6月起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“税务助企大讲堂”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6月起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“川企财税公益帮扶计划”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6月起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线上线下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2020-06-09T02:08:02Z</dcterms:created>
  <dc:creator>hp</dc:creator>
  <cp:lastModifiedBy>薛薛薛</cp:lastModifiedBy>
  <dcterms:modified xsi:type="dcterms:W3CDTF">2020-06-09T02:08:10Z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